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天津市规划展览馆</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宣传城乡规划法律、法规及城市的发展变化，陈列城市总体规划、专项规划、城市设计、控制性详细规划及各类重点工程的详细规划，进行规划公示。举办与规划建设相关的临时展览，提供规划学术报告，规划咨询等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天津市规划展览馆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部门本级（内设3个职能科室）和0个所属预算单位，具体构成如下：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天津市规划展览馆（本级）</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天津市规划展览馆</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22601787.56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999410.00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325046.32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150382.47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499842.79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150216.45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999410.00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21715914.10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23751414.01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23690595.68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60818.33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23751414.01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23751414.01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23751414.01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23601197.56</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150216.45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325046.32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325046.32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325046.32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325046.32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221413.92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221413.92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103632.40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103632.40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150382.47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150382.47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150382.47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150382.47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138383.70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138383.70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11998.77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11998.77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节能环保支出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499842.79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499842.79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自然生态保护</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499842.79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499842.79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2110406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自然保护地</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499842.79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499842.79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999410.00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999410.00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国有土地使用权出让收入安排的支出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999410.00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999410.00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2120806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土地出让业务支出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999410.00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999410.00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21776732.43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21626515.98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150216.45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21776732.43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21626515.98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150216.45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自然资源规划及管理</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自然资源调查与确权登记</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3026515.98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3026515.98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其他自然资源事务支出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17426216.45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17276000.00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150216.45</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天津市规划展览馆</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23751414.01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23751414.01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22601787.56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999410.00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150216.45</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358213</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天津市规划展览馆</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23751414.01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23751414.01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22601787.56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999410.00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150216.45</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天津市规划展览馆</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358213</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天津市规划展览馆</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23690595.68</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3591342.89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20099252.79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221413.92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221413.92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103632.40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103632.40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138383.70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138383.70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11998.77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11998.77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节能环保支出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自然生态保护</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2110406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自然保护地</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999410.00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999410.00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国有土地使用权出让收入安排的支出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999410.00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999410.00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2120806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土地出让业务支出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999410.00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999410.00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21715914.10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3115914.10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21715914.10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3115914.10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自然资源规划及管理</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自然资源调查与确权登记</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767000.00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3026515.98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3026515.98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其他自然资源事务支出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17365398.12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89398.12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17276000.00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22601787.56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999410.00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325046.32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325046.32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150382.47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150382.47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499842.79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499842.79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999410.00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999410.00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21626515.98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21626515.98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23601197.56</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23601197.56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22601787.56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999410.00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23601197.56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23601197.56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22601787.56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999410.00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天津市规划展览馆</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22601787.56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3501944.77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3163870.50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338074.27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19099842.79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325046.32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221413.92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221413.92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221413.92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103632.40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103632.40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103632.40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150382.47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138383.70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138383.70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138383.70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11998.77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11998.77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11998.77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节能环保支出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自然生态保护</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2110406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自然保护地</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499842.79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21626515.98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3026515.98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2688441.71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338074.27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21626515.98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3026515.98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2688441.71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338074.27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自然资源规划及管理</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自然资源调查与确权登记</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767000.00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3026515.98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3026515.98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2688441.71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338074.27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其他自然资源事务支出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17276000.00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17276000.00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3163870.50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335124.27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795166.00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64878.90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2950.00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305636.40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2950.00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757716.10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221413.92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103632.40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138383.70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65132.03</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11682.29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714786.00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14617.00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11998.77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103454.92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4190.00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2213.00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31478.00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19900.00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9884.71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39223.10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20147.53</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3163870.50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338074.27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999410.00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999410.00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999410.00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城乡社区支出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21208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国有土地使用权出让收入安排的支出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2120806</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土地出让业务支出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天津市规划展览馆2025年度国有资本经营预算财政拨款收入支出决算表为空表。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9884.71</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9884.71</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9884.71</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天津市规划展览馆</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20099252.79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19099842.79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999410.00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节能环保支出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自然生态保护</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2110406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自然保护地</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2110406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京津冀及周边地区野生动植物罚没品存储项目（中央转移支付项目）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499842.79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国有土地使用权出让收入安排的支出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2120806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土地出让业务支出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2120806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天津市规划展览馆相关展区布展更新改造项目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999410.00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自然资源规划及管理</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天津市规划展览馆管理服务保障项目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自然资源调查与确权登记</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天津市规划展览馆信息服务保障项目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其他自然资源事务支出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17276000.00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17276000.00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天津市规划展览馆安全保障项目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476000.00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476000.00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天津市规划展览馆运维服务保障项目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16800000.00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16800000.00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23,751,414.01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增加366,151.42元，增长1.57%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本年度增加野生动植物保护宣传相关工作经费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一般公共预算财政拨款收入22,601,787.56元、政府性基金预算财政拨款收入999,410.00元、其他收入150,216.45元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社会保障和就业支出325,046.32元、卫生健康支出150,382.47元、节能环保支出499,842.79元、城乡社区支出999,410.00元、自然资源海洋气象等支出21,715,914.10元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天津市规划展览馆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23,751,414.01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增加441,367.97元，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本年度增加野生动植物保护宣传相关工作经费</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一般公共预算财政拨款收入22,601,787.56元，占95.16%；政府性基金预算财政拨款收入999,410.00元，占4.21%；其他收入150,216.45元，占0.63%</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天津市规划展览馆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23,690,595.68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增加305,883.31元，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本年度增加野生动植物保护宣传相关工作经费</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基本支出3,591,342.89元，占15.16%；项目支出20,099,252.79元，占84.84%</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23,601,197.56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增加381,801.89元，增长1.64%，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本年度增加野生动植物保护宣传相关工作经费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一般公共预算财政拨款22,601,787.56元、政府性基金预算财政拨款999,410.00元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社会保障和就业支出325,046.32元、卫生健康支出150,382.47元、节能环保支出499,842.79元、城乡社区支出999,410.00元、自然资源海洋气象等支出21,626,515.98元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天津市规划展览馆2025年度一般公共预算财政拨款支出合计22,601,787.56元，占本年支出合计的95.40%。与2024年度相比，一般公共预算财政拨款支出</w:t>
      </w:r>
      <w:r>
        <w:rPr>
          <w:rFonts w:eastAsia="仿宋_GB2312" w:hint="eastAsia"/>
          <w:sz w:val="30"/>
          <w:szCs w:val="30"/>
          <w:highlight w:val="none"/>
          <w:lang w:val="en-US" w:eastAsia="zh-CN"/>
        </w:rPr>
        <w:t xml:space="preserve">减少617,608.11元</w:t>
      </w:r>
      <w:r>
        <w:rPr>
          <w:rFonts w:eastAsia="仿宋_GB2312" w:hint="eastAsia"/>
          <w:sz w:val="30"/>
          <w:szCs w:val="30"/>
          <w:highlight w:val="none"/>
          <w:lang w:val="en-US" w:eastAsia="zh-CN"/>
        </w:rPr>
        <w:t xml:space="preserve">，下降2.66%</w:t>
      </w:r>
      <w:r>
        <w:rPr>
          <w:rFonts w:eastAsia="仿宋_GB2312" w:hint="eastAsia"/>
          <w:sz w:val="30"/>
          <w:szCs w:val="30"/>
          <w:highlight w:val="none"/>
          <w:lang w:val="en-US" w:eastAsia="zh-CN"/>
        </w:rPr>
        <w:t xml:space="preserve">，主要原因是本年度未安排野生动植物保护培训及候鸟护飞行动专项经费。</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2025年度一般公共预算财政拨款支出22,601,787.56元，主要用于以下方面：</w:t>
      </w:r>
      <w:r>
        <w:rPr>
          <w:rFonts w:eastAsia="仿宋_GB2312" w:hint="eastAsia"/>
          <w:sz w:val="30"/>
          <w:szCs w:val="30"/>
          <w:highlight w:val="none"/>
        </w:rPr>
        <w:t xml:space="preserve">社会保障和就业支出（类）支出325,046.32元，占1.44%，卫生健康支出（类）支出150,382.47元，占0.67%，节能环保支出（类）支出499,842.79元，占2.21%，自然资源海洋气象等支出（类）支出21,626,515.98元，占95.68%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2025年度一般公共预算财政拨款支出年初预算为22,120,000.00元，支出决算为22,601,787.56元</w:t>
      </w:r>
      <w:r>
        <w:rPr>
          <w:rFonts w:eastAsia="仿宋_GB2312" w:hint="eastAsia"/>
          <w:sz w:val="30"/>
          <w:szCs w:val="30"/>
          <w:highlight w:val="none"/>
          <w:lang w:val="en-US" w:eastAsia="zh-CN"/>
        </w:rPr>
        <w:t xml:space="preserve">，完成年初预算的102.18%</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230,000.00元，支出决算为221,413.92元，完成年初预算的96.27%，决算数小于年初预算数的主要原因是：人员动态调整，按实际支出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115,000.00元，支出决算为103,632.40元，完成年初预算的90.12%，决算数小于年初预算数的主要原因是：人员动态调整，按实际支出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3.卫生健康支出（类）行政事业单位医疗（款）事业单位医疗（项）年初预算为151,000.00元，支出决算为138,383.70元，完成年初预算的91.64%，决算数小于年初预算数的主要原因是：人员动态调整，按实际支出执行。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18,000.00元，支出决算为11,998.77元，完成年初预算的66.66%，决算数小于年初预算数的主要原因是：人员动态调整，按实际支出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5.节能环保支出（类）自然生态保护（款）自然保护地（项）年初预算为0.00元，支出决算为499,842.79元，决算数大于年初预算数的主要原因是：按照实际工作安排，本年度追加野生动植物保护宣传相关工作经费。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自然资源海洋气象等支出（类）自然资源事务（款）自然资源规划及管理（项）年初预算为557,000.00元，支出决算为557,000.00元，完成年初预算的100.00%，决算数与年初预算数持平的主要原因是：按照预算批复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自然资源海洋气象等支出（类）自然资源事务（款）自然资源调查与确权登记（项）年初预算为767,000.00元，支出决算为767,000.00元，完成年初预算的100.00%，决算数与年初预算数持平的主要原因是：按照预算批复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自然资源海洋气象等支出（类）自然资源事务（款）事业运行（项）年初预算为3,006,000.00元，支出决算为3,026,515.98元，完成年初预算的100.68%，决算数大于年初预算数的主要原因是：人员动态调整，调增基本支出经费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自然资源海洋气象等支出（类）自然资源事务（款）其他自然资源事务支出（项）年初预算为17,276,000.00元，支出决算为17,276,000.00元，完成年初预算的100.00%，决算数与年初预算数持平的主要原因是：按照预算批复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天津市规划展览馆2025年度一般公共预算财政拨款基本支出合计3,501,944.77元，与2024年度相比</w:t>
      </w:r>
      <w:r>
        <w:rPr>
          <w:rFonts w:eastAsia="仿宋_GB2312" w:hint="eastAsia"/>
          <w:sz w:val="30"/>
          <w:szCs w:val="30"/>
          <w:highlight w:val="none"/>
          <w:lang w:val="en-US" w:eastAsia="zh-CN"/>
        </w:rPr>
        <w:t xml:space="preserve">增加275,772.60元，</w:t>
      </w:r>
      <w:r>
        <w:rPr>
          <w:rFonts w:eastAsia="仿宋_GB2312" w:hint="eastAsia"/>
          <w:sz w:val="30"/>
          <w:szCs w:val="30"/>
          <w:highlight w:val="none"/>
          <w:lang w:val="en-US" w:eastAsia="zh-CN"/>
        </w:rPr>
        <w:t xml:space="preserve">主要原因是人员动态调整，调增基本支出经费预算。</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人员经费3,163,870.50元，主要包括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基本工资、津贴补贴、绩效工资、机关事业单位基本养老保险缴费、职业年金缴费、职工基本医疗保险缴费、其他社会保障缴费、住房公积金、医疗费、其他工资福利支出</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公用经费338,074.27元，主要包括</w:t>
      </w:r>
      <w:r>
        <w:rPr>
          <w:rFonts w:eastAsia="仿宋_GB2312" w:hint="eastAsia"/>
          <w:sz w:val="30"/>
          <w:szCs w:val="30"/>
          <w:highlight w:val="none"/>
          <w:lang w:val="en-US" w:eastAsia="zh-CN"/>
        </w:rPr>
        <w:t xml:space="preserve">办公费、邮电费、差旅费、维修(护)费、会议费、培训费、专用材料费、委托业务费、工会经费、福利费、公务用车运行维护费、其他交通费用、税金及附加费用、其他商品和服务支出、专用设备购置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天津市规划展览馆2025年度政府性基金预算财政拨款年初结转和结余0.00元，收入999,410.00元，支出999,410.00元，年末结转和结余0.00元。与2024年度相比，政府性基金预算财政拨款支出</w:t>
      </w:r>
      <w:r>
        <w:rPr>
          <w:rFonts w:eastAsia="仿宋_GB2312" w:hint="eastAsia"/>
          <w:sz w:val="30"/>
          <w:szCs w:val="30"/>
          <w:highlight w:val="none"/>
          <w:lang w:val="en-US" w:eastAsia="zh-CN"/>
        </w:rPr>
        <w:t xml:space="preserve">增加999,410.00元，</w:t>
      </w:r>
      <w:r>
        <w:rPr>
          <w:rFonts w:eastAsia="仿宋_GB2312" w:hint="eastAsia"/>
          <w:sz w:val="30"/>
          <w:szCs w:val="30"/>
          <w:highlight w:val="none"/>
          <w:lang w:val="en-US" w:eastAsia="zh-CN"/>
        </w:rPr>
        <w:t xml:space="preserve">主要原因是按照实际工作安排，本年度增加展区布展更新改造经费。</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2025年度政府性基金预算财政拨款支出999,410.00元，主要用于以下方面：</w:t>
      </w:r>
      <w:r>
        <w:rPr>
          <w:rFonts w:eastAsia="仿宋_GB2312" w:hint="eastAsia"/>
          <w:sz w:val="28"/>
          <w:szCs w:val="28"/>
          <w:highlight w:val="none"/>
        </w:rPr>
        <w:t xml:space="preserve">城乡社区支出（类）支出999,410.00元，占100.00%</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2025年度政府性基金预算财政拨款支出年初预算为1,000,000.00元，支出决算为999,410.00元</w:t>
      </w:r>
      <w:r>
        <w:rPr>
          <w:rFonts w:eastAsia="仿宋_GB2312" w:hint="eastAsia"/>
          <w:sz w:val="30"/>
          <w:szCs w:val="30"/>
          <w:highlight w:val="none"/>
          <w:lang w:val="en-US" w:eastAsia="zh-CN"/>
        </w:rPr>
        <w:t xml:space="preserve">，完成年初预算的99.94%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城乡社区支出（类）国有土地使用权出让收入安排的支出（款）土地出让业务支出（项）年初预算为1,000,000.00元，支出决算为999,410.00元，完成年初预算的99.94%，决算数小于年初预算数的主要原因是：项目实际合同金额小于政府采购预算金额，节约部分财政资金。</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9,884.71</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9,884.71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支出决算较上年增加91.00元</w:t>
      </w:r>
      <w:r>
        <w:rPr>
          <w:rFonts w:eastAsia="仿宋_GB2312" w:hint="eastAsia"/>
          <w:sz w:val="30"/>
          <w:szCs w:val="30"/>
          <w:highlight w:val="none"/>
          <w:lang w:val="en-US" w:eastAsia="zh-CN"/>
        </w:rPr>
        <w:t xml:space="preserve">，增长0.93%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决算数与预算数持平的主要原因是严格按照本年度“三公”经费预算执行；</w:t>
      </w:r>
      <w:r>
        <w:rPr>
          <w:rFonts w:eastAsia="仿宋_GB2312" w:hint="eastAsia"/>
          <w:sz w:val="30"/>
          <w:szCs w:val="30"/>
          <w:highlight w:val="none"/>
          <w:lang w:val="en-US" w:eastAsia="zh-CN"/>
        </w:rPr>
        <w:t xml:space="preserve">决算数较上年增加的主要原因是由于车辆使用年数增加，本年度公车维修维护费用略有增加。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9,884.71</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9,884.71</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支出决算较上年增加91.00元</w:t>
      </w:r>
      <w:r>
        <w:rPr>
          <w:rFonts w:eastAsia="仿宋_GB2312" w:hint="eastAsia"/>
          <w:sz w:val="30"/>
          <w:szCs w:val="30"/>
          <w:highlight w:val="none"/>
          <w:lang w:val="en-US" w:eastAsia="zh-CN"/>
        </w:rPr>
        <w:t xml:space="preserve">，增长0.93%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决算数与预算数持平的主要原因是严格按照预算批复执行；</w:t>
      </w:r>
      <w:r>
        <w:rPr>
          <w:rFonts w:eastAsia="仿宋_GB2312" w:hint="eastAsia"/>
          <w:sz w:val="30"/>
          <w:szCs w:val="30"/>
          <w:highlight w:val="none"/>
          <w:lang w:val="en-US" w:eastAsia="zh-CN"/>
        </w:rPr>
        <w:t xml:space="preserve">决算数较上年增加的主要原因是由于车辆使用年数增加，本年度公车维修维护费用略有增加。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9,884.71</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9,884.71</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支出决算较上年增加91.00元</w:t>
      </w:r>
      <w:r>
        <w:rPr>
          <w:rFonts w:eastAsia="仿宋_GB2312" w:hint="eastAsia"/>
          <w:sz w:val="30"/>
          <w:szCs w:val="30"/>
          <w:highlight w:val="none"/>
          <w:lang w:val="en-US" w:eastAsia="zh-CN"/>
        </w:rPr>
        <w:t xml:space="preserve">，增长0.93%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决算数与预算数持平的主要原因是严格按照预算批复执行；</w:t>
      </w:r>
      <w:r>
        <w:rPr>
          <w:rFonts w:eastAsia="仿宋_GB2312" w:hint="eastAsia"/>
          <w:sz w:val="30"/>
          <w:szCs w:val="30"/>
          <w:highlight w:val="none"/>
          <w:lang w:val="en-US" w:eastAsia="zh-CN"/>
        </w:rPr>
        <w:t xml:space="preserve">决算数较上年增加的主要原因是由于车辆使用年数增加，本年度公车维修维护费用略有增加。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规划展览馆2025年政府采购支出总额15,489,277.91元，其中：政府采购货物支出71,055.00元、政府采购工程支出0.00元、政府采购服务支出15,418,222.91元。授予中小企业合同金额15,489,277.91元，占政府采购支出总额的100.00%，其中：授予小微企业合同金额11,032,555.00元，占政府采购支出总额的71.23%；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截至2025年12月31日，天津市规划展览馆共有车辆1辆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其他用车1辆</w:t>
      </w:r>
      <w:r>
        <w:rPr>
          <w:rFonts w:eastAsia="仿宋_GB2312" w:hint="eastAsia"/>
          <w:sz w:val="30"/>
          <w:szCs w:val="30"/>
          <w:highlight w:val="none"/>
          <w:lang w:val="en-US" w:eastAsia="zh-CN"/>
        </w:rPr>
        <w:t xml:space="preserve">，其他用车主要包括外出办事用车</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根据预算绩效管理要求，天津市规划展览馆已对6个2025年度市级项目开展绩效自评，涉及金额20,100,000.00元，自评结果已随部门决算一并公开。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天津市规划展览馆不属于乡、镇、街级单位，不涉及公开2025年度教育、医疗卫生、社会保障和就业、住房保障、涉农补贴等民生支出情况。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6E58457C-A757-4040-92A9-7D746DA55B62}"/>
    <w:embedBold r:id="rId2" w:subsetted="1" w:fontKey="{980F98BC-FC48-4BD9-B464-89ECC09D984A}"/>
  </w:font>
  <w:font w:name="Cambria">
    <w:panose1 w:val="02040503050406030204"/>
    <w:charset w:val="00"/>
    <w:family w:val="roman"/>
    <w:pitch w:val="default"/>
    <w:sig w:usb0="E00006FF" w:usb1="420024FF" w:usb2="02000000" w:usb3="00000000" w:csb0="2000019F" w:csb1="00000000"/>
    <w:embedRegular r:id="rId3" w:fontKey="{90AA4378-C2A3-435A-B148-EA24AE444543}"/>
  </w:font>
  <w:font w:name="Calibri">
    <w:panose1 w:val="020F0502020204030204"/>
    <w:charset w:val="00"/>
    <w:family w:val="swiss"/>
    <w:pitch w:val="default"/>
    <w:sig w:usb0="E4002EFF" w:usb1="C200247B" w:usb2="00000009" w:usb3="00000000" w:csb0="200001FF" w:csb1="00000000"/>
    <w:embedRegular r:id="rId4" w:fontKey="{50B4D605-D676-4A3F-A04C-01A5028C1B06}"/>
  </w:font>
  <w:font w:name="黑体">
    <w:panose1 w:val="02010609060101010101"/>
    <w:charset w:val="FFFFFF86"/>
    <w:family w:val="auto"/>
    <w:pitch w:val="default"/>
    <w:sig w:usb0="800002BF" w:usb1="38CF7CFA" w:usb2="00000016" w:usb3="00000000" w:csb0="00040001" w:csb1="00000000"/>
    <w:embedRegular r:id="rId5" w:subsetted="1" w:fontKey="{0A99BD9B-1494-4356-BA96-C5886E4B74C1}"/>
    <w:embedBold r:id="rId6" w:subsetted="1" w:fontKey="{6492F41B-9058-4BD4-9120-F5C173EE22DF}"/>
  </w:font>
  <w:font w:name="方正小标宋简体">
    <w:altName w:val="黑体"/>
    <w:panose1 w:val="02000000000000000000"/>
    <w:charset w:val="FFFFFF86"/>
    <w:family w:val="auto"/>
    <w:pitch w:val="default"/>
    <w:sig w:usb0="00000001" w:usb1="08000000" w:usb2="00000000" w:usb3="00000000" w:csb0="00040000" w:csb1="00000000"/>
    <w:embedRegular r:id="rId7" w:fontKey="{F82389F7-3736-40D7-A218-E5E3E4FE3CFC}"/>
    <w:embedBold r:id="rId8" w:fontKey="{F0D3A5AD-69CA-4EB0-AC76-9D78C162BEDD}"/>
  </w:font>
  <w:font w:name="仿宋">
    <w:panose1 w:val="02010609060101010101"/>
    <w:charset w:val="FFFFFF86"/>
    <w:family w:val="auto"/>
    <w:pitch w:val="default"/>
    <w:sig w:usb0="800002BF" w:usb1="38CF7CFA" w:usb2="00000016" w:usb3="00000000" w:csb0="00040001" w:csb1="00000000"/>
    <w:embedRegular r:id="rId9" w:subsetted="1" w:fontKey="{CC0A38DB-AE62-4087-9FCC-6B4C2D21DFAC}"/>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8FF29479-D73B-4383-8EB3-83B1BAF484A4}"/>
  </w:font>
  <w:font w:name="方正楷体_GB2312">
    <w:altName w:val="宋体"/>
    <w:panose1 w:val="02000000000000000000"/>
    <w:charset w:val="FFFFFF86"/>
    <w:family w:val="auto"/>
    <w:pitch w:val="default"/>
    <w:sig w:usb0="A00002BF" w:usb1="184F6CFA" w:usb2="00000012" w:usb3="00000000" w:csb0="00040001" w:csb1="00000000"/>
    <w:embedRegular r:id="rId11" w:fontKey="{66F28413-B547-4584-A150-94F8871646E6}"/>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80847BC1-7F20-4B6F-BAFD-4BD56A7CA75D}"/>
    <w:embedBold r:id="rId13" w:subsetted="1" w:fontKey="{94A5492B-59C7-41CD-BF89-04253D7B0C8C}"/>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31</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34</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